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FF184" w14:textId="77777777" w:rsidR="005C6790" w:rsidRPr="005C6790" w:rsidRDefault="005C6790" w:rsidP="005C6790">
      <w:pPr>
        <w:jc w:val="both"/>
      </w:pPr>
      <w:r w:rsidRPr="005C6790">
        <w:t>080046540007CO</w:t>
      </w:r>
    </w:p>
    <w:p w14:paraId="09014918" w14:textId="77777777" w:rsidR="005C6790" w:rsidRPr="005C6790" w:rsidRDefault="005C6790" w:rsidP="005C6790">
      <w:pPr>
        <w:jc w:val="both"/>
      </w:pPr>
      <w:r w:rsidRPr="005C6790">
        <w:t xml:space="preserve">EXPEDIENTE </w:t>
      </w:r>
      <w:proofErr w:type="spellStart"/>
      <w:r w:rsidRPr="005C6790">
        <w:t>N°</w:t>
      </w:r>
      <w:proofErr w:type="spellEnd"/>
      <w:r w:rsidRPr="005C6790">
        <w:t xml:space="preserve"> 08-004654-0007-CO</w:t>
      </w:r>
    </w:p>
    <w:p w14:paraId="115DE62D" w14:textId="77777777" w:rsidR="005C6790" w:rsidRPr="005C6790" w:rsidRDefault="005C6790" w:rsidP="005C6790">
      <w:pPr>
        <w:jc w:val="both"/>
      </w:pPr>
      <w:r w:rsidRPr="005C6790">
        <w:t>PROCESO: RECURSO DE AMPARO</w:t>
      </w:r>
    </w:p>
    <w:p w14:paraId="5A5418A0" w14:textId="77777777" w:rsidR="005C6790" w:rsidRPr="005C6790" w:rsidRDefault="005C6790" w:rsidP="005C6790">
      <w:pPr>
        <w:jc w:val="both"/>
      </w:pPr>
      <w:r w:rsidRPr="005C6790">
        <w:t xml:space="preserve">RESOLUCIÓN </w:t>
      </w:r>
      <w:proofErr w:type="spellStart"/>
      <w:r w:rsidRPr="005C6790">
        <w:t>Nº</w:t>
      </w:r>
      <w:proofErr w:type="spellEnd"/>
      <w:r w:rsidRPr="005C6790">
        <w:t xml:space="preserve"> 2008-05311</w:t>
      </w:r>
    </w:p>
    <w:p w14:paraId="67418884" w14:textId="77777777" w:rsidR="005C6790" w:rsidRPr="005C6790" w:rsidRDefault="005C6790" w:rsidP="005C6790">
      <w:pPr>
        <w:jc w:val="both"/>
      </w:pPr>
      <w:r w:rsidRPr="005C6790">
        <w:t>SALA CONSTITUCIONAL DE LA CORTE SUPREMA DE JUSTICIA. S.J., a las quince horas y cincuenta y tres minutos del nueve de abril del dos mil ocho.</w:t>
      </w:r>
    </w:p>
    <w:p w14:paraId="581F1A5A" w14:textId="77777777" w:rsidR="005C6790" w:rsidRPr="005C6790" w:rsidRDefault="005C6790" w:rsidP="005C6790">
      <w:pPr>
        <w:jc w:val="both"/>
      </w:pPr>
      <w:r w:rsidRPr="005C6790">
        <w:t>Recurso de amparo interpuesto por XXXXXXXXXXXXXXX, cédula de identidad número XXXXXXXXXXXXXXX, contra el ORGANO DIRECTOR DEL PROCEDIMIENTOADMINISTRATIVO DE LA MUNICIPALIDAD DE NICOYA.</w:t>
      </w:r>
    </w:p>
    <w:p w14:paraId="3C42C5D6" w14:textId="77777777" w:rsidR="005C6790" w:rsidRPr="005C6790" w:rsidRDefault="005C6790" w:rsidP="005C6790">
      <w:pPr>
        <w:jc w:val="both"/>
      </w:pPr>
      <w:r w:rsidRPr="005C6790">
        <w:t>Resultando:</w:t>
      </w:r>
    </w:p>
    <w:p w14:paraId="68AC8618" w14:textId="77777777" w:rsidR="005C6790" w:rsidRPr="005C6790" w:rsidRDefault="005C6790" w:rsidP="005C6790">
      <w:pPr>
        <w:numPr>
          <w:ilvl w:val="0"/>
          <w:numId w:val="1"/>
        </w:numPr>
        <w:jc w:val="both"/>
      </w:pPr>
      <w:r w:rsidRPr="005C6790">
        <w:t>-</w:t>
      </w:r>
    </w:p>
    <w:p w14:paraId="3DA14160" w14:textId="77777777" w:rsidR="005C6790" w:rsidRPr="005C6790" w:rsidRDefault="005C6790" w:rsidP="005C6790">
      <w:pPr>
        <w:jc w:val="both"/>
      </w:pPr>
      <w:r w:rsidRPr="005C6790">
        <w:t xml:space="preserve">Por escrito recibido por la vía del fax a las 08:39 horas del 13 de marzo de 2008, la recurrente interpone recurso de amparo contra el ORGANO DIRECTOR DEL PROCEDIMIENTO ADMINISTRATIVO DE LA MUNICIPALIDAD DE NICOYA y manifiesta lo siguiente, en resumen: que desde el día 08 de octubre de 2007, presentó una denuncia por acoso y hostigamiento sexual en contra M.A. J.M., quien goza de gran influencia con algunos miembros del Concejo Municipal por desempeñarse como S. de ese cuerpo colegiado. Acusa que el regidor A.D.A., miembro unipersonal del Órgano </w:t>
      </w:r>
      <w:proofErr w:type="gramStart"/>
      <w:r w:rsidRPr="005C6790">
        <w:t>Director</w:t>
      </w:r>
      <w:proofErr w:type="gramEnd"/>
      <w:r w:rsidRPr="005C6790">
        <w:t xml:space="preserve"> del Procedimiento Administrativo correspondiente ha venido atrasando sin una razón valedera el trámite de la investigación, siendo que a la fecha ni siquiera ha hecho el traslado de cargos, con lo cual se podría estar favoreciendo la impunidad sobre los hechos denunciados. El regidor D.A. no tiene oficina en la ciudad de Nicoya y porta el expediente en un maletín cuando asiste a la Municipalidad. Explica que en reiteradas oportunidades le ha solicitado verbalmente que se lo muestre, a lo que el interpelado se niega aduciendo que su asesora legal no se lo permite, agregando que vaya a su casa de habitación sita en La Mansión de Nicoya, distante varios kilómetros de la ciudad colonial, lo que a todas luces constituye un impedimento para poder acceder al expediente de marras. De esta suerte, el 11 de marzo del año en curso, la accionante le solicitó por escrito al recurrido copia del expediente que en ese momento portaba, pero se negó verbalmente y a </w:t>
      </w:r>
      <w:proofErr w:type="spellStart"/>
      <w:r w:rsidRPr="005C6790">
        <w:t>lo</w:t>
      </w:r>
      <w:proofErr w:type="spellEnd"/>
      <w:r w:rsidRPr="005C6790">
        <w:t xml:space="preserve"> pocos minutos le entregó una nota con tipo de letra y de estilo muy parecida a la que usa precisamente el acusado, en la que manifiesta que es contraproducente fotocopiar el expediente, que para ver el expediente le ofrece el número de teléfono de su casa de habitación y que las gestiones que hagan las partes las resolverá dentro de quinto día. Un rato más tarde le entregó otra nota, con tipo de letra y estilo similar a </w:t>
      </w:r>
      <w:proofErr w:type="spellStart"/>
      <w:r w:rsidRPr="005C6790">
        <w:t>al</w:t>
      </w:r>
      <w:proofErr w:type="spellEnd"/>
      <w:r w:rsidRPr="005C6790">
        <w:t xml:space="preserve"> anterior, aduciendo que no es procedente entregar copia del expediente para proteger la confidencialidad del caso, impidiendo con ello que su asesor legal analizara los pasos a seguir, pues este asunto se está tramitando como una burla a la víctima y al ordenamiento jurídico. Solicita la recurrente que se acoja para su trámite este recurso y se obligue el recurrido a terminar con tantas y tan curiosas dilaciones en perjuicio de su buen nombre y de su patrimonio moral, que se le deje bien claro al recurrido que está obligado a cumplir su deber, a ser imparcial y a no negar el </w:t>
      </w:r>
      <w:r w:rsidRPr="005C6790">
        <w:lastRenderedPageBreak/>
        <w:t>derecho de la víctima a que se investiguen los hechos, a que se sancionen y al acceso irrestricto al expediente.</w:t>
      </w:r>
    </w:p>
    <w:p w14:paraId="6E55E6F9" w14:textId="77777777" w:rsidR="005C6790" w:rsidRPr="005C6790" w:rsidRDefault="005C6790" w:rsidP="005C6790">
      <w:pPr>
        <w:numPr>
          <w:ilvl w:val="0"/>
          <w:numId w:val="2"/>
        </w:numPr>
        <w:jc w:val="both"/>
      </w:pPr>
      <w:r w:rsidRPr="005C6790">
        <w:t>-</w:t>
      </w:r>
    </w:p>
    <w:p w14:paraId="708ADC42" w14:textId="77777777" w:rsidR="005C6790" w:rsidRPr="005C6790" w:rsidRDefault="005C6790" w:rsidP="005C6790">
      <w:pPr>
        <w:jc w:val="both"/>
      </w:pPr>
      <w:r w:rsidRPr="005C6790">
        <w:t>El </w:t>
      </w:r>
      <w:hyperlink r:id="rId5" w:history="1">
        <w:r w:rsidRPr="005C6790">
          <w:rPr>
            <w:rStyle w:val="Hipervnculo"/>
          </w:rPr>
          <w:t>artículo 9</w:t>
        </w:r>
      </w:hyperlink>
      <w:r w:rsidRPr="005C6790">
        <w:t> de la </w:t>
      </w:r>
      <w:hyperlink r:id="rId6" w:history="1">
        <w:r w:rsidRPr="005C6790">
          <w:rPr>
            <w:rStyle w:val="Hipervnculo"/>
          </w:rPr>
          <w:t>Ley de la Jurisdicción Constitucional</w:t>
        </w:r>
      </w:hyperlink>
      <w:r w:rsidRPr="005C6790">
        <w:t> faculta a la Sala a rechazar de plano o por el fondo, en cualquier momento, incluso desde su presentación, cualquier gestión que se presente a su conocimiento que resulte ser manifiestamente improcedente, o cuando considere que existen elementos de juicio suficientes para rechazarla, o que se trata de la simple reiteración o reproducción de una gestión anterior igual o similar rechazada.</w:t>
      </w:r>
    </w:p>
    <w:p w14:paraId="1A30CF48" w14:textId="77777777" w:rsidR="005C6790" w:rsidRPr="005C6790" w:rsidRDefault="005C6790" w:rsidP="005C6790">
      <w:pPr>
        <w:jc w:val="both"/>
      </w:pPr>
      <w:r w:rsidRPr="005C6790">
        <w:t>R.M.C.M.; y,</w:t>
      </w:r>
    </w:p>
    <w:p w14:paraId="5D8CC802" w14:textId="77777777" w:rsidR="005C6790" w:rsidRPr="005C6790" w:rsidRDefault="005C6790" w:rsidP="005C6790">
      <w:pPr>
        <w:jc w:val="both"/>
      </w:pPr>
      <w:r w:rsidRPr="005C6790">
        <w:t>Considerando:</w:t>
      </w:r>
    </w:p>
    <w:p w14:paraId="7CE1E02C" w14:textId="77777777" w:rsidR="005C6790" w:rsidRPr="005C6790" w:rsidRDefault="005C6790" w:rsidP="005C6790">
      <w:pPr>
        <w:jc w:val="both"/>
      </w:pPr>
      <w:r w:rsidRPr="005C6790">
        <w:t>I.-</w:t>
      </w:r>
    </w:p>
    <w:p w14:paraId="0061E3F6" w14:textId="77777777" w:rsidR="005C6790" w:rsidRPr="005C6790" w:rsidRDefault="005C6790" w:rsidP="005C6790">
      <w:pPr>
        <w:jc w:val="both"/>
      </w:pPr>
      <w:r w:rsidRPr="005C6790">
        <w:t xml:space="preserve">SOBRE LA SUPUESTA VIOLACION DEL ARTICULO 30 DE LA CONSTTIUCION POLIITCA. De le lectura del memorial de interposición del recurso se colige que el asunto al que hace referencia la </w:t>
      </w:r>
      <w:proofErr w:type="spellStart"/>
      <w:r w:rsidRPr="005C6790">
        <w:t>petente</w:t>
      </w:r>
      <w:proofErr w:type="spellEnd"/>
      <w:r w:rsidRPr="005C6790">
        <w:t xml:space="preserve">, en este punto, apenas ha dado origen a una investigación preliminar, siendo que en estos casos la Sala ha declarado que existe secreto de las gestiones y diligencias realizadas. Así, en sentencia </w:t>
      </w:r>
      <w:proofErr w:type="spellStart"/>
      <w:r w:rsidRPr="005C6790">
        <w:t>N°</w:t>
      </w:r>
      <w:proofErr w:type="spellEnd"/>
      <w:r w:rsidRPr="005C6790">
        <w:t xml:space="preserve"> 2006-011947 de las 15:20 horas del 16 de agosto de 2006, se dijo:</w:t>
      </w:r>
    </w:p>
    <w:p w14:paraId="4672FE1A" w14:textId="77777777" w:rsidR="005C6790" w:rsidRPr="005C6790" w:rsidRDefault="005C6790" w:rsidP="005C6790">
      <w:pPr>
        <w:jc w:val="both"/>
        <w:rPr>
          <w:i/>
          <w:iCs/>
        </w:rPr>
      </w:pPr>
      <w:r w:rsidRPr="005C6790">
        <w:rPr>
          <w:i/>
          <w:iCs/>
        </w:rPr>
        <w:t>En este caso, la Administración Tributaria justifica la negativa para dar acceso a un legajo de la información en que se trata de una investigación preliminar, siendo que todavía no existe un procedimiento administrativo formalmente incoado. Al respecto, esta S. ha dicho justamente que en la etapa preliminar del procedimiento de fiscalización tributaria la administración tributaria no está en el deber de facilitar copia de la totalidad de la información máxime si ello se fundamenta en el éxito de la investigación.</w:t>
      </w:r>
    </w:p>
    <w:p w14:paraId="448B0BF4" w14:textId="77777777" w:rsidR="005C6790" w:rsidRPr="005C6790" w:rsidRDefault="005C6790" w:rsidP="005C6790">
      <w:pPr>
        <w:jc w:val="both"/>
      </w:pPr>
      <w:r w:rsidRPr="005C6790">
        <w:t>A mayor abundamiento, tómese en cuenta lo que estableció esta Sala Constitucional en el voto 07-004468 de las 17:30 horas del 28 de marzo de 2007:</w:t>
      </w:r>
    </w:p>
    <w:p w14:paraId="25567612" w14:textId="77777777" w:rsidR="005C6790" w:rsidRPr="005C6790" w:rsidRDefault="005C6790" w:rsidP="005C6790">
      <w:pPr>
        <w:jc w:val="both"/>
        <w:rPr>
          <w:i/>
          <w:iCs/>
        </w:rPr>
      </w:pPr>
      <w:r w:rsidRPr="005C6790">
        <w:rPr>
          <w:i/>
          <w:iCs/>
        </w:rPr>
        <w:t>(…) el ordenamiento jurídico ha previsto —con el propósito de proteger los derechos del servidor cuestionado, del denunciante de buena fe y la objetividad en el desarrollo de las averiguaciones pertinentes— que en el procedimiento investigatorio existan diversos momentos procesales con diferentes niveles de acceso a los expedientes. En este sentido, los párrafos segundo y tercero del artículo 6 de la Ley General de Control Interno número 8292 del 31 de julio de 2002, establecen que ‘la información, documentación y otras evidencias de las investigaciones que efectúan las auditorías internas, la administración y la Contraloría General, cuyos resultados puedan originar la apertura de un procedimiento administrativo, serán confidenciales durante la formulación del informe respectivo. Una vez notificado el informe correspondiente y hasta la resolución final del procedimiento administrativo, la información contenida en el expediente será calificada como información confidencial, excepto para las partes involucradas, las cuales tendrán libre acceso a todos los documentos y las pruebas que obren en el expediente administrativo. Para todos los casos, la Asamblea Legislativa, en el ejercicio de las facultades contenidas en el </w:t>
      </w:r>
      <w:hyperlink r:id="rId7" w:history="1">
        <w:r w:rsidRPr="005C6790">
          <w:rPr>
            <w:rStyle w:val="Hipervnculo"/>
            <w:i/>
            <w:iCs/>
          </w:rPr>
          <w:t>inciso 23)</w:t>
        </w:r>
      </w:hyperlink>
      <w:r w:rsidRPr="005C6790">
        <w:rPr>
          <w:i/>
          <w:iCs/>
        </w:rPr>
        <w:t> del artículo </w:t>
      </w:r>
      <w:hyperlink r:id="rId8" w:history="1">
        <w:r w:rsidRPr="005C6790">
          <w:rPr>
            <w:rStyle w:val="Hipervnculo"/>
            <w:i/>
            <w:iCs/>
          </w:rPr>
          <w:t>121</w:t>
        </w:r>
      </w:hyperlink>
      <w:r w:rsidRPr="005C6790">
        <w:rPr>
          <w:i/>
          <w:iCs/>
        </w:rPr>
        <w:t> de la </w:t>
      </w:r>
      <w:hyperlink r:id="rId9" w:history="1">
        <w:r w:rsidRPr="005C6790">
          <w:rPr>
            <w:rStyle w:val="Hipervnculo"/>
            <w:i/>
            <w:iCs/>
          </w:rPr>
          <w:t>Constitución Política</w:t>
        </w:r>
      </w:hyperlink>
      <w:r w:rsidRPr="005C6790">
        <w:rPr>
          <w:i/>
          <w:iCs/>
        </w:rPr>
        <w:t>, podrá acceder a los informes, la documentación y las pruebas que obren en poder de las auditorías internas, la administración o la Contraloría General de la República’ . Asimismo, el </w:t>
      </w:r>
      <w:hyperlink r:id="rId10" w:history="1">
        <w:r w:rsidRPr="005C6790">
          <w:rPr>
            <w:rStyle w:val="Hipervnculo"/>
            <w:i/>
            <w:iCs/>
          </w:rPr>
          <w:t>artículo 8</w:t>
        </w:r>
      </w:hyperlink>
      <w:r w:rsidRPr="005C6790">
        <w:rPr>
          <w:i/>
          <w:iCs/>
        </w:rPr>
        <w:t> de la </w:t>
      </w:r>
      <w:hyperlink r:id="rId11" w:history="1">
        <w:r w:rsidRPr="005C6790">
          <w:rPr>
            <w:rStyle w:val="Hipervnculo"/>
            <w:i/>
            <w:iCs/>
          </w:rPr>
          <w:t>Ley contra la Corrupción y el Enriquecimiento Ilícito en la Función Pública</w:t>
        </w:r>
      </w:hyperlink>
      <w:r w:rsidRPr="005C6790">
        <w:rPr>
          <w:i/>
          <w:iCs/>
        </w:rPr>
        <w:t xml:space="preserve">, ley número 8422 del 6 de octubre de 2004, estatuye que la ‘Contraloría General de la República, la Administración y las auditorías internas de las instituciones y empresas públicas, guardarán confidencialidad respecto de la identidad de los ciudadanos que, de buena fe, presenten ante sus oficinas denuncias por actos de corrupción. La información, la documentación y otras evidencias de las investigaciones que efectúen las auditorías internas, la Administración y la Contraloría General de la República, cuyos resultados puedan originar la apertura de un procedimiento administrativo, serán confidenciales durante la formulación del informe respectivo. Una vez notificado el informe correspondiente y hasta la resolución final del procedimiento administrativo, la información contenida en el expediente será calificada como información confidencial, excepto para las partes involucradas, las cuales tendrán libre acceso a todos los documentos y las pruebas que consten en el expediente administrativo. No obstante, las autoridades judiciales podrán solicitar la información pertinente, ante la posible existencia de un delito contra el honor de la persona denunciada.’ Con base en esas normas, la Sala interpreta que existen, al menos, tres etapas en una investigación administrativa, cada una de las cuales se caracteriza por un grado distinto de acceso a la información. La primera se refiere al inicio de la denominada investigación preliminar, que puede comenzar con una denuncia, como en este caso, o con una actuación de oficio del Estado. Esta fase se relaciona con las primeras averiguaciones y pesquisas que realiza la Administración con el fin de determinar si en efecto hay mérito para iniciar un procedimiento administrativo formal. En este momento, la documentación recopilada y los dictámenes al efecto resultan confidenciales para cualquier persona, incluso para el denunciante y el denunciado, en la medida que, por un lado, se deben garantizar los resultados de la investigación y proteger tanto la honra del denunciado como la confidencialidad del denunciante de buena fe y, por otro lado, no existe certeza aún sobre la procedencia de lo denunciado. La segunda fase comprende el momento desde que empieza un procedimiento administrativo, por lo general a partir de una investigación preliminar, hasta que se comunica la resolución final del mismo. En esta etapa, resulta obvio que las pruebas e informes relativos a lo indagado tienen que estar a disposición de las partes involucradas, a fin de que las </w:t>
      </w:r>
      <w:proofErr w:type="gramStart"/>
      <w:r w:rsidRPr="005C6790">
        <w:rPr>
          <w:i/>
          <w:iCs/>
        </w:rPr>
        <w:t>autoridades públicas</w:t>
      </w:r>
      <w:proofErr w:type="gramEnd"/>
      <w:r w:rsidRPr="005C6790">
        <w:rPr>
          <w:i/>
          <w:iCs/>
        </w:rPr>
        <w:t xml:space="preserve"> investiguen lo concerniente y los cuestionados ejerzan efectivamente su derecho de defensa. El denunciante no se puede tener técnicamente como parte en un procedimiento administrativo de este tipo por el mero hecho de la denuncia interpuesta, sino que éste debe apersonarse y demostrar que ostenta algún derecho subjetivo o interés legítimo que pudiera resultar directamente afectado, lesionado o satisfecho por un acto administrativo final, según lo contemplado en el artículo 275 de la Ley General de Administración Pública. Con excepción de las partes, durante esa segunda etapa ninguna otra persona puede tener acceso al expediente administrativo correspondiente, puesto que aún la Administración no ha concluido si el acto investigado efectivamente sucedió y de qué forma, o si existe mérito para una sanción. En la última </w:t>
      </w:r>
      <w:proofErr w:type="gramStart"/>
      <w:r w:rsidRPr="005C6790">
        <w:rPr>
          <w:i/>
          <w:iCs/>
        </w:rPr>
        <w:t>etapa ,</w:t>
      </w:r>
      <w:proofErr w:type="gramEnd"/>
      <w:r w:rsidRPr="005C6790">
        <w:rPr>
          <w:i/>
          <w:iCs/>
        </w:rPr>
        <w:t xml:space="preserve"> que no termina sino con la notificación de la resolución final de la investigación a las partes, cesa la confidencialidad de la información contenida en el expediente administrativo correspondiente, que por versar sobre cuestiones relacionadas con el desempeño de los servidores estatales resulta de evidente interés público y debe estar a disposición de todo ciudadano. No obstante, en cualquier fase, las autoridades judiciales pueden requerir la información pertinente, ante la posible existencia de un delito contra el honor de la persona denunciada. Las diversas facetas expuestas no implican, sin embargo, que el denunciante carezca de todo derecho a información en lo relativo a su gestión. En efecto, el Estado siempre estará en la obligación de suministrarle a él datos generales sobre la tramitación brindada a su denuncia, tales como los órganos responsables de su diligenciamiento, la fase procesal en la que se encuentra o el plazo prudencial para su conclusión. En este sentido, la Sala observa un notorio interés público en la denuncia no solo como instrumento de control político, sino también como mecanismo útil para la evaluación de resultados y rendición de cuentas de la Administración, fines todos de relevancia constitucional según lo estatuido en el </w:t>
      </w:r>
      <w:hyperlink r:id="rId12" w:history="1">
        <w:r w:rsidRPr="005C6790">
          <w:rPr>
            <w:rStyle w:val="Hipervnculo"/>
            <w:i/>
            <w:iCs/>
          </w:rPr>
          <w:t>artículo 11</w:t>
        </w:r>
      </w:hyperlink>
      <w:r w:rsidRPr="005C6790">
        <w:rPr>
          <w:i/>
          <w:iCs/>
        </w:rPr>
        <w:t> de la </w:t>
      </w:r>
      <w:hyperlink r:id="rId13" w:history="1">
        <w:r w:rsidRPr="005C6790">
          <w:rPr>
            <w:rStyle w:val="Hipervnculo"/>
            <w:i/>
            <w:iCs/>
          </w:rPr>
          <w:t>Constitución Política</w:t>
        </w:r>
      </w:hyperlink>
      <w:r w:rsidRPr="005C6790">
        <w:rPr>
          <w:i/>
          <w:iCs/>
        </w:rPr>
        <w:t>.</w:t>
      </w:r>
    </w:p>
    <w:p w14:paraId="00FC4FA2" w14:textId="77777777" w:rsidR="005C6790" w:rsidRPr="005C6790" w:rsidRDefault="005C6790" w:rsidP="005C6790">
      <w:pPr>
        <w:jc w:val="both"/>
      </w:pPr>
      <w:r w:rsidRPr="005C6790">
        <w:t>II.-</w:t>
      </w:r>
    </w:p>
    <w:p w14:paraId="6A87AB14" w14:textId="77777777" w:rsidR="005C6790" w:rsidRPr="005C6790" w:rsidRDefault="005C6790" w:rsidP="005C6790">
      <w:pPr>
        <w:jc w:val="both"/>
      </w:pPr>
      <w:r w:rsidRPr="005C6790">
        <w:t xml:space="preserve">NUEVA JUSTICIA ADMINISTRATIVA MECANISMO CELERE Y CUMPLIDO PARA LA PROTECCIÓN DE SITUACIONES JURÍDICAS SUSTANCIALES DE LOS ADMINISTRADOS. Por lo demás, si la </w:t>
      </w:r>
      <w:proofErr w:type="spellStart"/>
      <w:r w:rsidRPr="005C6790">
        <w:t>petente</w:t>
      </w:r>
      <w:proofErr w:type="spellEnd"/>
      <w:r w:rsidRPr="005C6790">
        <w:t xml:space="preserve"> estima que de alguna forma se ha producido una dilación irrazonable en tramitar su denuncia, independientemente del mérito que su alegato pueda tener, cabe indicar que la Sala Constitucional, desde su fundación, ha utilizado criterios amplios de admisibilidad en vista de la ausencia de cauces procesales expeditos y céleres para la protección de las situaciones jurídicas sustanciales que tienen asidero en el ordenamiento jurídico </w:t>
      </w:r>
      <w:proofErr w:type="spellStart"/>
      <w:r w:rsidRPr="005C6790">
        <w:t>infra-constitucional</w:t>
      </w:r>
      <w:proofErr w:type="spellEnd"/>
      <w:r w:rsidRPr="005C6790">
        <w:t xml:space="preserve"> o parámetro de legalidad, que guardan conexión indirecta con los derechos fundamentales y el Derecho de la Constitución. Sobre el particular, no debe perderse de perspectiva que la Constitución por su supremacía, súper-legalidad y eficacia directa e inmediata da fundamento indirecto a cualquier situación jurídica sustancial imaginable de las personas. No obstante, bajo una mejor ponderación y ante la promulgación del </w:t>
      </w:r>
      <w:hyperlink r:id="rId14" w:history="1">
        <w:r w:rsidRPr="005C6790">
          <w:rPr>
            <w:rStyle w:val="Hipervnculo"/>
          </w:rPr>
          <w:t>Código Procesal Contencioso-Administrativo</w:t>
        </w:r>
      </w:hyperlink>
      <w:r w:rsidRPr="005C6790">
        <w:t> (Ley No. 8508 de 24 de abril de 2006) y su entrada en vigencia a partir del 1° de enero de 2008, ha quedado patente que ahora los justiciables cuentan con una jurisdicción contencioso- administrativa plenaria y universal, sumamente expedita y célere por los diversos mecanismos procesales que incorpora al ordenamiento jurídico esa legislación, tales como el acortamiento de los plazos para realizar los diversos actos procesales, la amplitud de la legitimación, las medidas cautelares, el </w:t>
      </w:r>
      <w:r w:rsidRPr="005C6790">
        <w:rPr>
          <w:i/>
          <w:iCs/>
        </w:rPr>
        <w:t xml:space="preserve">numerus </w:t>
      </w:r>
      <w:proofErr w:type="spellStart"/>
      <w:r w:rsidRPr="005C6790">
        <w:rPr>
          <w:i/>
          <w:iCs/>
        </w:rPr>
        <w:t>apertus</w:t>
      </w:r>
      <w:proofErr w:type="spellEnd"/>
      <w:r w:rsidRPr="005C6790">
        <w:t xml:space="preserve"> de las pretensiones deducibles, la oralidad –y sus subprincipios concentración, inmediación y celeridad-, la única instancia con recurso de apelación en situaciones expresamente tasadas, la conciliación </w:t>
      </w:r>
      <w:proofErr w:type="spellStart"/>
      <w:r w:rsidRPr="005C6790">
        <w:t>intra-procesal</w:t>
      </w:r>
      <w:proofErr w:type="spellEnd"/>
      <w:r w:rsidRPr="005C6790">
        <w:t xml:space="preserve">, el proceso unificado, el proceso de trámite preferente o “amparo de legalidad”, los procesos de puro derecho, las nuevas medidas de ejecución (multas coercitivas, ejecución sustitutiva o </w:t>
      </w:r>
      <w:proofErr w:type="spellStart"/>
      <w:r w:rsidRPr="005C6790">
        <w:t>comisarial</w:t>
      </w:r>
      <w:proofErr w:type="spellEnd"/>
      <w:r w:rsidRPr="005C6790">
        <w:t>, embargo de bienes del dominio fiscal y algunos del dominio público), los amplios poderes del cuerpo de jueces de ejecución, la extensión y adaptación de los efectos de la jurisprudencia a terceros y la flexibilidad del recurso de casación. Todos esos institutos procesales novedosos tienen por fin y propósito manifiesto alcanzar la economía procesal, la celeridad, la prontitud y la protección efectiva o cumplida de las situaciones jurídicas sustanciales de los administrados, todo con garantía de derechos fundamentales básicos como el debido proceso, la defensa y el contradictorio. En suma, la nueva jurisdicción contencioso-administrativa es un cauce idóneo, por sus nuevas características de simplicidad, celeridad y prontitud para el amparo y protección efectiva de las situaciones jurídicas sustanciales de los administrados en las que se requiera recabar prueba o definir algunas cuestiones de legalidad ordinaria.</w:t>
      </w:r>
    </w:p>
    <w:p w14:paraId="71BB0511" w14:textId="77777777" w:rsidR="005C6790" w:rsidRPr="005C6790" w:rsidRDefault="005C6790" w:rsidP="005C6790">
      <w:pPr>
        <w:jc w:val="both"/>
      </w:pPr>
      <w:r w:rsidRPr="005C6790">
        <w:t>III.-</w:t>
      </w:r>
    </w:p>
    <w:p w14:paraId="2EBE4A93" w14:textId="77777777" w:rsidR="005C6790" w:rsidRPr="005C6790" w:rsidRDefault="005C6790" w:rsidP="005C6790">
      <w:pPr>
        <w:jc w:val="both"/>
      </w:pPr>
      <w:r w:rsidRPr="005C6790">
        <w:t>VERIFICACIÓN DE LOS PLAZOS PAUTADOS POR LEY PARA RESOLVER LOS PROCEDIMIENTOS ADMINISTRATIVOS: CUESTIÓN EVIDENTE DE LEGALIDAD ORDINARIA. Es evidente que determinar si la administración pública cumple o no con los plazos pautados por la </w:t>
      </w:r>
      <w:hyperlink r:id="rId15" w:history="1">
        <w:r w:rsidRPr="005C6790">
          <w:rPr>
            <w:rStyle w:val="Hipervnculo"/>
          </w:rPr>
          <w:t>Ley General de la Administración Pública</w:t>
        </w:r>
      </w:hyperlink>
      <w:r w:rsidRPr="005C6790">
        <w:t xml:space="preserve"> (artículos 261 y 325) o las leyes sectoriales para los procedimientos administrativos especiales, para resolver por acto final un procedimiento administrativo –incoado de oficio o a instancia de parte- o conocer de los recursos administrativos procedentes, es una evidente cuestión de legalidad ordinaria que, en adelante, puede ser discutida y resuelta ante la jurisdicción contencioso- administrativa con la aplicación de los principios que nutren la jurisdicción constitucional, tales como los de la legitimación vicaria, la posibilidad de la defensa material –esto es de comparecer sin patrocinio letrado- y de gratuidad para la recurrente. Consecuentemente, se impone el rechazo de plano e indicarle a la </w:t>
      </w:r>
      <w:proofErr w:type="spellStart"/>
      <w:r w:rsidRPr="005C6790">
        <w:t>gestionante</w:t>
      </w:r>
      <w:proofErr w:type="spellEnd"/>
      <w:r w:rsidRPr="005C6790">
        <w:t xml:space="preserve"> que si a bien lo tiene puede acudir a la jurisdicción contencioso-administrativa.</w:t>
      </w:r>
    </w:p>
    <w:p w14:paraId="553FA45F" w14:textId="77777777" w:rsidR="005C6790" w:rsidRPr="005C6790" w:rsidRDefault="005C6790" w:rsidP="005C6790">
      <w:pPr>
        <w:jc w:val="both"/>
      </w:pPr>
      <w:r w:rsidRPr="005C6790">
        <w:t>IV.-</w:t>
      </w:r>
    </w:p>
    <w:p w14:paraId="0591A87B" w14:textId="77777777" w:rsidR="005C6790" w:rsidRPr="005C6790" w:rsidRDefault="005C6790" w:rsidP="005C6790">
      <w:pPr>
        <w:jc w:val="both"/>
      </w:pPr>
      <w:r w:rsidRPr="005C6790">
        <w:t>El Magistrado V.B. salva el voto y ordena darle curso al amparo, en cuanto a lo referente a la supuesta violación al derecho a gozar de una justicia pronta y cumplida.</w:t>
      </w:r>
    </w:p>
    <w:p w14:paraId="3FF9339A" w14:textId="77777777" w:rsidR="005C6790" w:rsidRPr="005C6790" w:rsidRDefault="005C6790" w:rsidP="005C6790">
      <w:pPr>
        <w:jc w:val="both"/>
      </w:pPr>
      <w:proofErr w:type="spellStart"/>
      <w:r w:rsidRPr="005C6790">
        <w:t>Portanto</w:t>
      </w:r>
      <w:proofErr w:type="spellEnd"/>
      <w:r w:rsidRPr="005C6790">
        <w:t>:</w:t>
      </w:r>
    </w:p>
    <w:p w14:paraId="563D6845" w14:textId="77777777" w:rsidR="005C6790" w:rsidRPr="005C6790" w:rsidRDefault="005C6790" w:rsidP="005C6790">
      <w:pPr>
        <w:jc w:val="both"/>
      </w:pPr>
      <w:r w:rsidRPr="005C6790">
        <w:t>Se rechaza por el fondo el recurso. El Magistrado V.B. salva el voto y ordena darle curso al amparo en cuanto a la alegada violación al derecho a gozar de una justicia pronta y cumplida.</w:t>
      </w:r>
    </w:p>
    <w:p w14:paraId="0CD60A4B" w14:textId="77777777" w:rsidR="005C6790" w:rsidRPr="005C6790" w:rsidRDefault="005C6790" w:rsidP="005C6790">
      <w:pPr>
        <w:jc w:val="both"/>
      </w:pPr>
      <w:r w:rsidRPr="005C6790">
        <w:t>Ana Virginia Calzada M.</w:t>
      </w:r>
    </w:p>
    <w:p w14:paraId="0A558FF4" w14:textId="77777777" w:rsidR="005C6790" w:rsidRPr="005C6790" w:rsidRDefault="005C6790" w:rsidP="005C6790">
      <w:pPr>
        <w:jc w:val="both"/>
      </w:pPr>
      <w:r w:rsidRPr="005C6790">
        <w:t xml:space="preserve">Presidenta </w:t>
      </w:r>
      <w:proofErr w:type="spellStart"/>
      <w:r w:rsidRPr="005C6790">
        <w:t>a.i.</w:t>
      </w:r>
      <w:proofErr w:type="spellEnd"/>
    </w:p>
    <w:p w14:paraId="0F8039AB" w14:textId="77777777" w:rsidR="005C6790" w:rsidRPr="005C6790" w:rsidRDefault="005C6790" w:rsidP="005C6790">
      <w:pPr>
        <w:jc w:val="both"/>
      </w:pPr>
      <w:r w:rsidRPr="005C6790">
        <w:t>Adrián Vargas B. Gilbert Armijo S.</w:t>
      </w:r>
    </w:p>
    <w:p w14:paraId="4531072C" w14:textId="77777777" w:rsidR="005C6790" w:rsidRPr="005C6790" w:rsidRDefault="005C6790" w:rsidP="005C6790">
      <w:pPr>
        <w:jc w:val="both"/>
      </w:pPr>
      <w:r w:rsidRPr="005C6790">
        <w:t xml:space="preserve">Ernesto </w:t>
      </w:r>
      <w:proofErr w:type="spellStart"/>
      <w:r w:rsidRPr="005C6790">
        <w:t>Jinesta</w:t>
      </w:r>
      <w:proofErr w:type="spellEnd"/>
      <w:r w:rsidRPr="005C6790">
        <w:t xml:space="preserve"> L. Fernando Cruz C.</w:t>
      </w:r>
    </w:p>
    <w:p w14:paraId="04ED09B7" w14:textId="77777777" w:rsidR="005C6790" w:rsidRPr="005C6790" w:rsidRDefault="005C6790" w:rsidP="005C6790">
      <w:pPr>
        <w:jc w:val="both"/>
      </w:pPr>
      <w:r w:rsidRPr="005C6790">
        <w:t xml:space="preserve">Federico </w:t>
      </w:r>
      <w:proofErr w:type="spellStart"/>
      <w:r w:rsidRPr="005C6790">
        <w:t>Sosto</w:t>
      </w:r>
      <w:proofErr w:type="spellEnd"/>
      <w:r w:rsidRPr="005C6790">
        <w:t xml:space="preserve"> L. Jorge Araya G.</w:t>
      </w:r>
    </w:p>
    <w:p w14:paraId="149A6615" w14:textId="77777777" w:rsidR="005C6790" w:rsidRPr="005C6790" w:rsidRDefault="005C6790" w:rsidP="005C6790">
      <w:pPr>
        <w:jc w:val="both"/>
      </w:pPr>
      <w:proofErr w:type="spellStart"/>
      <w:r w:rsidRPr="005C6790">
        <w:t>cwm</w:t>
      </w:r>
      <w:proofErr w:type="spellEnd"/>
    </w:p>
    <w:p w14:paraId="024AFABD" w14:textId="77777777" w:rsidR="005C6790" w:rsidRPr="005C6790" w:rsidRDefault="005C6790" w:rsidP="005C6790">
      <w:pPr>
        <w:jc w:val="both"/>
      </w:pPr>
      <w:r w:rsidRPr="005C6790">
        <w:t>Voto salvado del Magistrado V.B.</w:t>
      </w:r>
    </w:p>
    <w:p w14:paraId="1181E69A" w14:textId="77777777" w:rsidR="005C6790" w:rsidRPr="005C6790" w:rsidRDefault="005C6790" w:rsidP="005C6790">
      <w:pPr>
        <w:jc w:val="both"/>
      </w:pPr>
      <w:r w:rsidRPr="005C6790">
        <w:t>El suscrito Magistrado se aparta del criterio de mayoría, y ordena dar curso al presente asunto. La doctrina moderna ha sido uniforme en reconocer a la </w:t>
      </w:r>
      <w:hyperlink r:id="rId16" w:history="1">
        <w:r w:rsidRPr="005C6790">
          <w:rPr>
            <w:rStyle w:val="Hipervnculo"/>
          </w:rPr>
          <w:t>Constitución Política</w:t>
        </w:r>
      </w:hyperlink>
      <w:r w:rsidRPr="005C6790">
        <w:t> como norma suprema del ordenamiento jurídico, la cual se ve complementada a su vez por las normas y principios del derecho internacional, particularmente de aquellos instrumentos que versan sobre derechos humanos. En el caso de nuestro país, el Constituyente derivado dispuso mediante la reforma al </w:t>
      </w:r>
      <w:hyperlink r:id="rId17" w:history="1">
        <w:r w:rsidRPr="005C6790">
          <w:rPr>
            <w:rStyle w:val="Hipervnculo"/>
          </w:rPr>
          <w:t>artículo 10</w:t>
        </w:r>
      </w:hyperlink>
      <w:r w:rsidRPr="005C6790">
        <w:t> de la </w:t>
      </w:r>
      <w:hyperlink r:id="rId18" w:history="1">
        <w:r w:rsidRPr="005C6790">
          <w:rPr>
            <w:rStyle w:val="Hipervnculo"/>
          </w:rPr>
          <w:t>Constitución Política</w:t>
        </w:r>
      </w:hyperlink>
      <w:r w:rsidRPr="005C6790">
        <w:t>, la creación de una jurisdicción especializada para la defensa de los derechos y libertades consagrados por la Carta Magna, con el fin de garantizar que éstos pudieran ser ejercidos en forma efectiva por los habitantes del país, y no quedaran únicamente en el papel, tal y como había sucedido anteriormente. Precisamente, uno de los derechos que esta jurisdicción se encuentra llamada a tutelar es el de la justicia pronta y cumplida consagrado en los </w:t>
      </w:r>
      <w:hyperlink r:id="rId19" w:history="1">
        <w:r w:rsidRPr="005C6790">
          <w:rPr>
            <w:rStyle w:val="Hipervnculo"/>
          </w:rPr>
          <w:t>artículos 41</w:t>
        </w:r>
      </w:hyperlink>
      <w:r w:rsidRPr="005C6790">
        <w:t> </w:t>
      </w:r>
      <w:hyperlink r:id="rId20" w:history="1">
        <w:r w:rsidRPr="005C6790">
          <w:rPr>
            <w:rStyle w:val="Hipervnculo"/>
          </w:rPr>
          <w:t>constitucional</w:t>
        </w:r>
      </w:hyperlink>
      <w:r w:rsidRPr="005C6790">
        <w:t> y 8 de la </w:t>
      </w:r>
      <w:hyperlink r:id="rId21" w:history="1">
        <w:r w:rsidRPr="005C6790">
          <w:rPr>
            <w:rStyle w:val="Hipervnculo"/>
          </w:rPr>
          <w:t>Convención Americana de Derechos Humanos</w:t>
        </w:r>
      </w:hyperlink>
      <w:r w:rsidRPr="005C6790">
        <w:t xml:space="preserve">, el cual ha sido entendido por la Sala en su jurisprudencia como el derecho de toda persona a que los Tribunales de Justicia y la Administración Pública tramiten y resuelvan los distintos asuntos puestos en su conocimiento, dentro de los plazos establecidos al efecto por el ordenamiento jurídico. La experiencia ha demostrado que en muchas ocasiones la falta de resolución de un asunto puesto en conocimiento de las autoridades </w:t>
      </w:r>
      <w:proofErr w:type="gramStart"/>
      <w:r w:rsidRPr="005C6790">
        <w:t>públicas,</w:t>
      </w:r>
      <w:proofErr w:type="gramEnd"/>
      <w:r w:rsidRPr="005C6790">
        <w:t xml:space="preserve"> puede derivar en vulneraciones a otros derechos fundamentales, tales como el derecho a un medio ambiente sano y ecológicamente equilibrado o el derecho a la salud, los cuales ocupan lugares preponderantes en el ordenamiento jurídico. </w:t>
      </w:r>
      <w:proofErr w:type="gramStart"/>
      <w:r w:rsidRPr="005C6790">
        <w:t>Así</w:t>
      </w:r>
      <w:proofErr w:type="gramEnd"/>
      <w:r w:rsidRPr="005C6790">
        <w:t xml:space="preserve"> por ejemplo, podría pensarse en la falta de respuesta a una denuncia planteada por contaminación por aguas negras, o en la omisión en la resolución de una denuncia por contaminación de aguas subterráneas, problemas que en caso de no ser tratados a tiempo podrían generar consecuencias nefastas para la salud de la población. Por lo anterior, estimo que la decisión de la mayoría de la Sala de remitir los asuntos que versen sobre esta materia al conocimiento de la jurisdicción contencioso administrativa, resulta improcedente ya que la resolución de los recursos en los que se alegue violación al </w:t>
      </w:r>
      <w:hyperlink r:id="rId22" w:history="1">
        <w:r w:rsidRPr="005C6790">
          <w:rPr>
            <w:rStyle w:val="Hipervnculo"/>
          </w:rPr>
          <w:t>artículo 41</w:t>
        </w:r>
      </w:hyperlink>
      <w:r w:rsidRPr="005C6790">
        <w:t> </w:t>
      </w:r>
      <w:hyperlink r:id="rId23" w:history="1">
        <w:r w:rsidRPr="005C6790">
          <w:rPr>
            <w:rStyle w:val="Hipervnculo"/>
          </w:rPr>
          <w:t>Constitucional</w:t>
        </w:r>
      </w:hyperlink>
      <w:r w:rsidRPr="005C6790">
        <w:t>, es de conocimiento exclusivo de esta Jurisdicción en virtud de lo dispuesto por el </w:t>
      </w:r>
      <w:hyperlink r:id="rId24" w:history="1">
        <w:r w:rsidRPr="005C6790">
          <w:rPr>
            <w:rStyle w:val="Hipervnculo"/>
          </w:rPr>
          <w:t>artículo 10</w:t>
        </w:r>
      </w:hyperlink>
      <w:r w:rsidRPr="005C6790">
        <w:t> de la </w:t>
      </w:r>
      <w:hyperlink r:id="rId25" w:history="1">
        <w:r w:rsidRPr="005C6790">
          <w:rPr>
            <w:rStyle w:val="Hipervnculo"/>
          </w:rPr>
          <w:t>Constitución Política</w:t>
        </w:r>
      </w:hyperlink>
      <w:r w:rsidRPr="005C6790">
        <w:t>, el cual es claro en establecer la competencia de este Tribunal en materia de protección a derechos fundamentales. En ese sentido, considero que la Sala no puede jerarquizar los derechos fundamentales establecidos por la </w:t>
      </w:r>
      <w:hyperlink r:id="rId26" w:history="1">
        <w:r w:rsidRPr="005C6790">
          <w:rPr>
            <w:rStyle w:val="Hipervnculo"/>
          </w:rPr>
          <w:t>Constitución Política</w:t>
        </w:r>
      </w:hyperlink>
      <w:r w:rsidRPr="005C6790">
        <w:t>, por lo que a mi parecer no podría darle un rango de protección diferente al principio de justicia pronta y cumplida, pues ello implicaría relegar al derecho tutelado por el </w:t>
      </w:r>
      <w:hyperlink r:id="rId27" w:history="1">
        <w:r w:rsidRPr="005C6790">
          <w:rPr>
            <w:rStyle w:val="Hipervnculo"/>
          </w:rPr>
          <w:t>artículo 41</w:t>
        </w:r>
      </w:hyperlink>
      <w:r w:rsidRPr="005C6790">
        <w:t> </w:t>
      </w:r>
      <w:hyperlink r:id="rId28" w:history="1">
        <w:r w:rsidRPr="005C6790">
          <w:rPr>
            <w:rStyle w:val="Hipervnculo"/>
          </w:rPr>
          <w:t>Constitucional</w:t>
        </w:r>
      </w:hyperlink>
      <w:r w:rsidRPr="005C6790">
        <w:t> a un plano inferior al del resto de los derechos fundamentales que la mayoría de la Sala decidió seguir tutelando. Asimismo, considero importante señalar que si bien entiendo la importancia de las reformas de la jurisdicción contencioso administrativa a partir de la vigencia de la Ley 8508 del veinticuatro de abril de dos mil seis, lo cierto es que dicha situación no se convierte en una excusa para remitir a dicha instancia asuntos que versan sobre materia que es competencia de esta S., la cual ha demostrado a lo largo de los años ser un medio célere y efectivo para la tutela de los derechos fundamentales de los habitantes del país.</w:t>
      </w:r>
    </w:p>
    <w:p w14:paraId="3F784F6E" w14:textId="77777777" w:rsidR="005C6790" w:rsidRPr="005C6790" w:rsidRDefault="005C6790" w:rsidP="005C6790">
      <w:pPr>
        <w:jc w:val="both"/>
      </w:pPr>
      <w:r w:rsidRPr="005C6790">
        <w:t>Adrián Vargas B.</w:t>
      </w:r>
    </w:p>
    <w:p w14:paraId="058C0342" w14:textId="77777777" w:rsidR="005C6790" w:rsidRPr="005C6790" w:rsidRDefault="005C6790" w:rsidP="005C6790">
      <w:pPr>
        <w:jc w:val="both"/>
      </w:pPr>
      <w:r w:rsidRPr="005C6790">
        <w:t>Magistrado.</w:t>
      </w:r>
    </w:p>
    <w:p w14:paraId="6765BBB6" w14:textId="77777777" w:rsidR="005C6790" w:rsidRPr="005C6790" w:rsidRDefault="005C6790" w:rsidP="005C6790">
      <w:pPr>
        <w:jc w:val="both"/>
      </w:pPr>
      <w:r w:rsidRPr="005C6790">
        <w:t xml:space="preserve">EXPEDIENTE </w:t>
      </w:r>
      <w:proofErr w:type="spellStart"/>
      <w:r w:rsidRPr="005C6790">
        <w:t>N°</w:t>
      </w:r>
      <w:proofErr w:type="spellEnd"/>
      <w:r w:rsidRPr="005C6790">
        <w:t xml:space="preserve"> 08-004654-0007-CO</w:t>
      </w:r>
    </w:p>
    <w:p w14:paraId="44DF32EC" w14:textId="77777777" w:rsidR="005C6790" w:rsidRPr="005C6790" w:rsidRDefault="005C6790" w:rsidP="005C6790">
      <w:pPr>
        <w:jc w:val="both"/>
      </w:pPr>
      <w:r w:rsidRPr="005C6790">
        <w:t>Teléfonos: 295-3696, 295-3697, 295-3698, 295-3700. Fax: 295-3712. Dirección electrónica: www.poder-judicial.go.cr/salaconstitucional</w:t>
      </w:r>
    </w:p>
    <w:p w14:paraId="5AF2060B" w14:textId="77777777" w:rsidR="00A730D5" w:rsidRDefault="00A730D5" w:rsidP="005C6790">
      <w:pPr>
        <w:jc w:val="both"/>
      </w:pPr>
    </w:p>
    <w:sectPr w:rsidR="00A730D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9642D"/>
    <w:multiLevelType w:val="multilevel"/>
    <w:tmpl w:val="DAD22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3715404">
    <w:abstractNumId w:val="0"/>
    <w:lvlOverride w:ilvl="0">
      <w:startOverride w:val="1"/>
    </w:lvlOverride>
  </w:num>
  <w:num w:numId="2" w16cid:durableId="2142527965">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790"/>
    <w:rsid w:val="003B64B7"/>
    <w:rsid w:val="005C6790"/>
    <w:rsid w:val="008A3AA2"/>
    <w:rsid w:val="00A730D5"/>
    <w:rsid w:val="00BE7415"/>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861DF"/>
  <w15:chartTrackingRefBased/>
  <w15:docId w15:val="{F0EEA4E5-7B49-4497-9741-086A8362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C6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C6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C679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C679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C679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C679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C679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C679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C679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C679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C679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C679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C679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C679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C679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C679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C679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C6790"/>
    <w:rPr>
      <w:rFonts w:eastAsiaTheme="majorEastAsia" w:cstheme="majorBidi"/>
      <w:color w:val="272727" w:themeColor="text1" w:themeTint="D8"/>
    </w:rPr>
  </w:style>
  <w:style w:type="paragraph" w:styleId="Ttulo">
    <w:name w:val="Title"/>
    <w:basedOn w:val="Normal"/>
    <w:next w:val="Normal"/>
    <w:link w:val="TtuloCar"/>
    <w:uiPriority w:val="10"/>
    <w:qFormat/>
    <w:rsid w:val="005C6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C679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C679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C679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C6790"/>
    <w:pPr>
      <w:spacing w:before="160"/>
      <w:jc w:val="center"/>
    </w:pPr>
    <w:rPr>
      <w:i/>
      <w:iCs/>
      <w:color w:val="404040" w:themeColor="text1" w:themeTint="BF"/>
    </w:rPr>
  </w:style>
  <w:style w:type="character" w:customStyle="1" w:styleId="CitaCar">
    <w:name w:val="Cita Car"/>
    <w:basedOn w:val="Fuentedeprrafopredeter"/>
    <w:link w:val="Cita"/>
    <w:uiPriority w:val="29"/>
    <w:rsid w:val="005C6790"/>
    <w:rPr>
      <w:i/>
      <w:iCs/>
      <w:color w:val="404040" w:themeColor="text1" w:themeTint="BF"/>
    </w:rPr>
  </w:style>
  <w:style w:type="paragraph" w:styleId="Prrafodelista">
    <w:name w:val="List Paragraph"/>
    <w:basedOn w:val="Normal"/>
    <w:uiPriority w:val="34"/>
    <w:qFormat/>
    <w:rsid w:val="005C6790"/>
    <w:pPr>
      <w:ind w:left="720"/>
      <w:contextualSpacing/>
    </w:pPr>
  </w:style>
  <w:style w:type="character" w:styleId="nfasisintenso">
    <w:name w:val="Intense Emphasis"/>
    <w:basedOn w:val="Fuentedeprrafopredeter"/>
    <w:uiPriority w:val="21"/>
    <w:qFormat/>
    <w:rsid w:val="005C6790"/>
    <w:rPr>
      <w:i/>
      <w:iCs/>
      <w:color w:val="0F4761" w:themeColor="accent1" w:themeShade="BF"/>
    </w:rPr>
  </w:style>
  <w:style w:type="paragraph" w:styleId="Citadestacada">
    <w:name w:val="Intense Quote"/>
    <w:basedOn w:val="Normal"/>
    <w:next w:val="Normal"/>
    <w:link w:val="CitadestacadaCar"/>
    <w:uiPriority w:val="30"/>
    <w:qFormat/>
    <w:rsid w:val="005C6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C6790"/>
    <w:rPr>
      <w:i/>
      <w:iCs/>
      <w:color w:val="0F4761" w:themeColor="accent1" w:themeShade="BF"/>
    </w:rPr>
  </w:style>
  <w:style w:type="character" w:styleId="Referenciaintensa">
    <w:name w:val="Intense Reference"/>
    <w:basedOn w:val="Fuentedeprrafopredeter"/>
    <w:uiPriority w:val="32"/>
    <w:qFormat/>
    <w:rsid w:val="005C6790"/>
    <w:rPr>
      <w:b/>
      <w:bCs/>
      <w:smallCaps/>
      <w:color w:val="0F4761" w:themeColor="accent1" w:themeShade="BF"/>
      <w:spacing w:val="5"/>
    </w:rPr>
  </w:style>
  <w:style w:type="character" w:styleId="Hipervnculo">
    <w:name w:val="Hyperlink"/>
    <w:basedOn w:val="Fuentedeprrafopredeter"/>
    <w:uiPriority w:val="99"/>
    <w:unhideWhenUsed/>
    <w:rsid w:val="005C6790"/>
    <w:rPr>
      <w:color w:val="467886" w:themeColor="hyperlink"/>
      <w:u w:val="single"/>
    </w:rPr>
  </w:style>
  <w:style w:type="character" w:styleId="Mencinsinresolver">
    <w:name w:val="Unresolved Mention"/>
    <w:basedOn w:val="Fuentedeprrafopredeter"/>
    <w:uiPriority w:val="99"/>
    <w:semiHidden/>
    <w:unhideWhenUsed/>
    <w:rsid w:val="005C6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99863">
      <w:bodyDiv w:val="1"/>
      <w:marLeft w:val="0"/>
      <w:marRight w:val="0"/>
      <w:marTop w:val="0"/>
      <w:marBottom w:val="0"/>
      <w:divBdr>
        <w:top w:val="none" w:sz="0" w:space="0" w:color="auto"/>
        <w:left w:val="none" w:sz="0" w:space="0" w:color="auto"/>
        <w:bottom w:val="none" w:sz="0" w:space="0" w:color="auto"/>
        <w:right w:val="none" w:sz="0" w:space="0" w:color="auto"/>
      </w:divBdr>
      <w:divsChild>
        <w:div w:id="1578592936">
          <w:blockQuote w:val="1"/>
          <w:marLeft w:val="0"/>
          <w:marRight w:val="0"/>
          <w:marTop w:val="0"/>
          <w:marBottom w:val="270"/>
          <w:divBdr>
            <w:top w:val="none" w:sz="0" w:space="0" w:color="auto"/>
            <w:left w:val="single" w:sz="36" w:space="11" w:color="EEEEEE"/>
            <w:bottom w:val="none" w:sz="0" w:space="0" w:color="auto"/>
            <w:right w:val="none" w:sz="0" w:space="0" w:color="auto"/>
          </w:divBdr>
        </w:div>
        <w:div w:id="1143429170">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707687380">
      <w:bodyDiv w:val="1"/>
      <w:marLeft w:val="0"/>
      <w:marRight w:val="0"/>
      <w:marTop w:val="0"/>
      <w:marBottom w:val="0"/>
      <w:divBdr>
        <w:top w:val="none" w:sz="0" w:space="0" w:color="auto"/>
        <w:left w:val="none" w:sz="0" w:space="0" w:color="auto"/>
        <w:bottom w:val="none" w:sz="0" w:space="0" w:color="auto"/>
        <w:right w:val="none" w:sz="0" w:space="0" w:color="auto"/>
      </w:divBdr>
      <w:divsChild>
        <w:div w:id="166948017">
          <w:blockQuote w:val="1"/>
          <w:marLeft w:val="0"/>
          <w:marRight w:val="0"/>
          <w:marTop w:val="0"/>
          <w:marBottom w:val="270"/>
          <w:divBdr>
            <w:top w:val="none" w:sz="0" w:space="0" w:color="auto"/>
            <w:left w:val="single" w:sz="36" w:space="11" w:color="EEEEEE"/>
            <w:bottom w:val="none" w:sz="0" w:space="0" w:color="auto"/>
            <w:right w:val="none" w:sz="0" w:space="0" w:color="auto"/>
          </w:divBdr>
        </w:div>
        <w:div w:id="1915816865">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lex.co.cr/vid/constitucion-politica-428878521" TargetMode="External"/><Relationship Id="rId13" Type="http://schemas.openxmlformats.org/officeDocument/2006/relationships/hyperlink" Target="https://vlex.co.cr/vid/constitucion-politica-428878521" TargetMode="External"/><Relationship Id="rId18" Type="http://schemas.openxmlformats.org/officeDocument/2006/relationships/hyperlink" Target="https://vlex.co.cr/vid/constitucion-politica-428878521" TargetMode="External"/><Relationship Id="rId26" Type="http://schemas.openxmlformats.org/officeDocument/2006/relationships/hyperlink" Target="https://vlex.co.cr/vid/constitucion-politica-428878521" TargetMode="External"/><Relationship Id="rId3" Type="http://schemas.openxmlformats.org/officeDocument/2006/relationships/settings" Target="settings.xml"/><Relationship Id="rId21" Type="http://schemas.openxmlformats.org/officeDocument/2006/relationships/hyperlink" Target="https://international.vlex.com/vid/americana-humanos-pacto-san-costa-rica-66934025?__hstc=229780547.43ac69f1359da08632438fb237a06cc9.1712068949527.1741817391651.1741832866984.9&amp;__hssc=229780547.1.1741832866984&amp;__hsfp=3502620734" TargetMode="External"/><Relationship Id="rId7" Type="http://schemas.openxmlformats.org/officeDocument/2006/relationships/hyperlink" Target="https://vlex.co.cr/vid/constitucion-politica-428878521" TargetMode="External"/><Relationship Id="rId12" Type="http://schemas.openxmlformats.org/officeDocument/2006/relationships/hyperlink" Target="https://vlex.co.cr/vid/constitucion-politica-428878521" TargetMode="External"/><Relationship Id="rId17" Type="http://schemas.openxmlformats.org/officeDocument/2006/relationships/hyperlink" Target="https://vlex.co.cr/vid/constitucion-politica-428878521" TargetMode="External"/><Relationship Id="rId25" Type="http://schemas.openxmlformats.org/officeDocument/2006/relationships/hyperlink" Target="https://vlex.co.cr/vid/constitucion-politica-428878521" TargetMode="External"/><Relationship Id="rId2" Type="http://schemas.openxmlformats.org/officeDocument/2006/relationships/styles" Target="styles.xml"/><Relationship Id="rId16" Type="http://schemas.openxmlformats.org/officeDocument/2006/relationships/hyperlink" Target="https://vlex.co.cr/vid/constitucion-politica-428878521" TargetMode="External"/><Relationship Id="rId20" Type="http://schemas.openxmlformats.org/officeDocument/2006/relationships/hyperlink" Target="https://vlex.co.cr/vid/constitucion-politica-42887852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vlex.co.cr/vid/ley-7135-jurisdiccion-constitucional-633222209" TargetMode="External"/><Relationship Id="rId11" Type="http://schemas.openxmlformats.org/officeDocument/2006/relationships/hyperlink" Target="https://vlex.co.cr/vid/ley-n-8422-corrupcion-652624973" TargetMode="External"/><Relationship Id="rId24" Type="http://schemas.openxmlformats.org/officeDocument/2006/relationships/hyperlink" Target="https://vlex.co.cr/vid/constitucion-politica-428878521" TargetMode="External"/><Relationship Id="rId5" Type="http://schemas.openxmlformats.org/officeDocument/2006/relationships/hyperlink" Target="https://vlex.co.cr/vid/ley-7135-jurisdiccion-constitucional-633222209" TargetMode="External"/><Relationship Id="rId15" Type="http://schemas.openxmlformats.org/officeDocument/2006/relationships/hyperlink" Target="https://vlex.co.cr/vid/ley-6227-general-administracion-633222185" TargetMode="External"/><Relationship Id="rId23" Type="http://schemas.openxmlformats.org/officeDocument/2006/relationships/hyperlink" Target="https://vlex.co.cr/vid/constitucion-politica-428878521" TargetMode="External"/><Relationship Id="rId28" Type="http://schemas.openxmlformats.org/officeDocument/2006/relationships/hyperlink" Target="https://vlex.co.cr/vid/constitucion-politica-428878521" TargetMode="External"/><Relationship Id="rId10" Type="http://schemas.openxmlformats.org/officeDocument/2006/relationships/hyperlink" Target="https://vlex.co.cr/vid/ley-n-8422-corrupcion-652624973" TargetMode="External"/><Relationship Id="rId19" Type="http://schemas.openxmlformats.org/officeDocument/2006/relationships/hyperlink" Target="https://vlex.co.cr/vid/constitucion-politica-428878521" TargetMode="External"/><Relationship Id="rId4" Type="http://schemas.openxmlformats.org/officeDocument/2006/relationships/webSettings" Target="webSettings.xml"/><Relationship Id="rId9" Type="http://schemas.openxmlformats.org/officeDocument/2006/relationships/hyperlink" Target="https://vlex.co.cr/vid/constitucion-politica-428878521" TargetMode="External"/><Relationship Id="rId14" Type="http://schemas.openxmlformats.org/officeDocument/2006/relationships/hyperlink" Target="https://vlex.co.cr/vid/codigo-procesal-contencioso-administrativo-428878513" TargetMode="External"/><Relationship Id="rId22" Type="http://schemas.openxmlformats.org/officeDocument/2006/relationships/hyperlink" Target="https://vlex.co.cr/vid/constitucion-politica-428878521" TargetMode="External"/><Relationship Id="rId27" Type="http://schemas.openxmlformats.org/officeDocument/2006/relationships/hyperlink" Target="https://vlex.co.cr/vid/constitucion-politica-428878521" TargetMode="Externa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3260</Words>
  <Characters>17934</Characters>
  <Application>Microsoft Office Word</Application>
  <DocSecurity>0</DocSecurity>
  <Lines>149</Lines>
  <Paragraphs>42</Paragraphs>
  <ScaleCrop>false</ScaleCrop>
  <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Kattia Ivannia Villalobos Molina</dc:creator>
  <cp:keywords/>
  <dc:description/>
  <cp:lastModifiedBy>Kattia Ivannia Villalobos Molina</cp:lastModifiedBy>
  <cp:revision>1</cp:revision>
  <dcterms:created xsi:type="dcterms:W3CDTF">2025-03-13T02:31:00Z</dcterms:created>
  <dcterms:modified xsi:type="dcterms:W3CDTF">2025-03-13T02:33:00Z</dcterms:modified>
</cp:coreProperties>
</file>